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 w:cs="宋体"/>
          <w:b/>
          <w:bCs/>
          <w:kern w:val="0"/>
          <w:sz w:val="30"/>
          <w:szCs w:val="30"/>
        </w:rPr>
      </w:pPr>
      <w:r>
        <w:rPr>
          <w:rFonts w:ascii="黑体" w:hAnsi="黑体" w:eastAsia="黑体" w:cs="宋体"/>
          <w:b/>
          <w:bCs/>
          <w:kern w:val="0"/>
          <w:sz w:val="30"/>
          <w:szCs w:val="30"/>
        </w:rPr>
        <w:t>哲学院20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2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ascii="黑体" w:hAnsi="黑体" w:eastAsia="黑体" w:cs="宋体"/>
          <w:b/>
          <w:bCs/>
          <w:kern w:val="0"/>
          <w:sz w:val="30"/>
          <w:szCs w:val="30"/>
        </w:rPr>
        <w:t>年度“五四”论文竞赛获奖名单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8"/>
          <w:szCs w:val="28"/>
        </w:rPr>
      </w:pPr>
      <w:r>
        <w:t>  </w:t>
      </w:r>
      <w:r>
        <w:rPr>
          <w:rFonts w:ascii="宋体" w:hAnsi="宋体" w:eastAsia="宋体"/>
          <w:sz w:val="28"/>
          <w:szCs w:val="28"/>
        </w:rPr>
        <w:t>哲学院20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年度本科生“五四”论文评奖工作已经结束。经</w:t>
      </w:r>
      <w:r>
        <w:rPr>
          <w:rFonts w:hint="eastAsia" w:ascii="宋体" w:hAnsi="宋体" w:eastAsia="宋体"/>
          <w:sz w:val="28"/>
          <w:szCs w:val="28"/>
        </w:rPr>
        <w:t>三轮</w:t>
      </w:r>
      <w:r>
        <w:rPr>
          <w:rFonts w:ascii="宋体" w:hAnsi="宋体" w:eastAsia="宋体"/>
          <w:sz w:val="28"/>
          <w:szCs w:val="28"/>
        </w:rPr>
        <w:t>专家匿名评审，</w:t>
      </w:r>
      <w:r>
        <w:rPr>
          <w:rFonts w:hint="eastAsia" w:ascii="宋体" w:hAnsi="宋体" w:eastAsia="宋体"/>
          <w:sz w:val="28"/>
          <w:szCs w:val="28"/>
        </w:rPr>
        <w:t>以下</w:t>
      </w:r>
      <w:r>
        <w:rPr>
          <w:rFonts w:hint="eastAsia" w:ascii="宋体" w:hAnsi="宋体"/>
          <w:sz w:val="28"/>
          <w:szCs w:val="28"/>
          <w:lang w:val="en-US" w:eastAsia="zh-CN"/>
        </w:rPr>
        <w:t>36</w:t>
      </w:r>
      <w:r>
        <w:rPr>
          <w:rFonts w:ascii="宋体" w:hAnsi="宋体" w:eastAsia="宋体"/>
          <w:sz w:val="28"/>
          <w:szCs w:val="28"/>
        </w:rPr>
        <w:t>篇论文分别获得一等奖、二等奖、三等奖和佳作奖。现将评选结果公示如下。我院师生如对评奖结果有</w:t>
      </w:r>
      <w:r>
        <w:rPr>
          <w:rFonts w:hint="eastAsia" w:ascii="宋体" w:hAnsi="宋体" w:eastAsia="宋体"/>
          <w:sz w:val="28"/>
          <w:szCs w:val="28"/>
        </w:rPr>
        <w:t>异</w:t>
      </w:r>
      <w:r>
        <w:rPr>
          <w:rFonts w:ascii="宋体" w:hAnsi="宋体" w:eastAsia="宋体"/>
          <w:sz w:val="28"/>
          <w:szCs w:val="28"/>
        </w:rPr>
        <w:t>议，请在</w:t>
      </w:r>
      <w:r>
        <w:rPr>
          <w:rFonts w:hint="eastAsia" w:ascii="宋体" w:hAnsi="宋体" w:eastAsia="宋体"/>
          <w:sz w:val="28"/>
          <w:szCs w:val="28"/>
        </w:rPr>
        <w:t>6月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日之前</w:t>
      </w:r>
      <w:r>
        <w:rPr>
          <w:rFonts w:ascii="宋体" w:hAnsi="宋体" w:eastAsia="宋体"/>
          <w:sz w:val="28"/>
          <w:szCs w:val="28"/>
        </w:rPr>
        <w:t>向学院本科教学指导委员会反映</w:t>
      </w:r>
      <w:r>
        <w:rPr>
          <w:rFonts w:hint="eastAsia" w:ascii="宋体" w:hAnsi="宋体" w:eastAsia="宋体"/>
          <w:sz w:val="28"/>
          <w:szCs w:val="28"/>
        </w:rPr>
        <w:t>，联系电话：022-</w:t>
      </w:r>
      <w:r>
        <w:rPr>
          <w:rFonts w:ascii="宋体" w:hAnsi="宋体" w:eastAsia="宋体"/>
          <w:sz w:val="28"/>
          <w:szCs w:val="28"/>
        </w:rPr>
        <w:t>23508268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widowControl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                       南开大学哲学院</w:t>
      </w:r>
    </w:p>
    <w:p>
      <w:pPr>
        <w:widowControl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                     20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年6月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哲学专业（含伯苓班）</w:t>
      </w:r>
    </w:p>
    <w:tbl>
      <w:tblPr>
        <w:tblStyle w:val="4"/>
        <w:tblW w:w="986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6193"/>
        <w:gridCol w:w="1232"/>
        <w:gridCol w:w="12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6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获奖者</w:t>
            </w:r>
          </w:p>
        </w:tc>
        <w:tc>
          <w:tcPr>
            <w:tcW w:w="1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指导教师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一种存在与生成的“居间者”——论《蒂迈欧》中的“接受者”</w:t>
            </w:r>
          </w:p>
        </w:tc>
        <w:tc>
          <w:tcPr>
            <w:tcW w:w="1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廖祎容</w:t>
            </w:r>
          </w:p>
        </w:tc>
        <w:tc>
          <w:tcPr>
            <w:tcW w:w="1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康德“理性事实”的认识路径与自由的实践证成——从认识能力的有限性阐明对道德法则的意识</w:t>
            </w:r>
          </w:p>
        </w:tc>
        <w:tc>
          <w:tcPr>
            <w:tcW w:w="1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肉身与表达：梅洛-庞蒂对胡塞尔交互主体性理论的超越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绵延的初创：柏格森内强量批判的三重错位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刘庭甫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马王堆帛书与《周易》训义重探——以经传分合观下的“贞”“亨”“孚”为基点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叶树勋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“自由的秩序”何以可能？——论阿伦特对哈耶克自由观的拓展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王子月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于涛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阿甘本生命政治学的语言哲学架构——以“赤裸生命”为例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高汐玥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晚期维特根斯坦的知识论是一种基础主义吗？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柴萌萌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自身与他者的交融互释：论保罗·利科的主体辩证法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孟子皓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钟汉川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德性、政治与哲学：亚里士多德友爱论的三个维度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向翌祯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试析“脏手”与正义战争论的适配性问题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马振原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Why-问题的因果解释：从因果一元主义到因果多元主义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张奕辰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贾向桐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基于合法律性的合法性何以可能？ ——论哈贝马斯的程序主义法律范式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张静雯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侯振武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AI绘画视域中的主体塑造：再现、表现与呈现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许梦珂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佳作奖</w:t>
            </w: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消解意识的“神秘性”：试析丹尼特意识理论的维特根斯坦痕迹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董涵洁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论康德法权原则和道德律令的关系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尹博文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论罗尔斯“正义感”的发展路径——从道德心理学到“理性的道德心理学”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葛如一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“自然”与“自得”：白沙心学与中晚明自然主义的兴起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陕雨桐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单虹泽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基于本质理论重思黑格尔对谢林批判的回应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周季泽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胡塞尔的语言现象学：现象学还原和意义构造问题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杨雨奇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从“运动”机制看霍布斯自然哲学与政治哲学的连贯性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童淳晞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侯振武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论阿尔都塞面向形势的哲学干预——基于理论连续性的考察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金天勤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牛子牛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主体间是可逆的，还是不可逆的？——回应列维纳斯对梅洛·庞蒂的批判 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杨元琪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贾江鸿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《庄子》“一实多名”现象探析——以名实关系为依据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宁明明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郑随心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“逻辑与历史相统一”何以可能？——《资本论》的叙述方法之争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张淞旺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牛子牛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调和之下的极限与动态——论“终极关切”的理论特点与实践维度   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李锐金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“无我”到“性空”：“空”在实在论上的扩展与深化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张自娟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“宗教人文化”与中国文化“内在超越”特质的确立——徐复观论先秦儒学思想的转变 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姜芷惠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福柯-塞托：日常生活实践中的技术创造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江俊贤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革命辩证法的主体重建 ——凯文·安德森的列宁学研究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高李鹏飞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0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梁漱溟对朱子与阳明之“理”概念的继承发展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张家硕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卢兴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逻辑学专业</w:t>
      </w:r>
    </w:p>
    <w:tbl>
      <w:tblPr>
        <w:tblStyle w:val="4"/>
        <w:tblW w:w="1014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6075"/>
        <w:gridCol w:w="1350"/>
        <w:gridCol w:w="13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6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获奖者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指导教师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37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隐定义在弗雷格语境下的可接受性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冯贾熙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贝叶斯方法与归纳问题—对条件化原则合理性的辩护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等奖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绿蓝悖论的证据路径解悖方案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杨真珍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3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佳作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奖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集体何以拥有信念？——一种基于反思均衡方法的多元非总和论进路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姜杙坤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37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原逻辑的修正——《淮南子》逻辑思想略析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                                               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吴克峰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mVjYWI4ODkzOGJiNjQ5ODU1ZjA3MjNjNTI0MzAifQ=="/>
  </w:docVars>
  <w:rsids>
    <w:rsidRoot w:val="00000000"/>
    <w:rsid w:val="21CB0BB9"/>
    <w:rsid w:val="38F15A95"/>
    <w:rsid w:val="5FBC1730"/>
    <w:rsid w:val="7D804D24"/>
    <w:rsid w:val="7F9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iPriority w:val="0"/>
    <w:pPr>
      <w:ind w:left="100" w:leftChars="2500"/>
    </w:p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日期 字符"/>
    <w:basedOn w:val="5"/>
    <w:link w:val="2"/>
    <w:uiPriority w:val="0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1311</Words>
  <Characters>1336</Characters>
  <Paragraphs>141</Paragraphs>
  <TotalTime>2</TotalTime>
  <ScaleCrop>false</ScaleCrop>
  <LinksUpToDate>false</LinksUpToDate>
  <CharactersWithSpaces>1467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2023-06-01T13:57:00Z</dcterms:created>
  <dc:creator>王琴</dc:creator>
  <cp:lastModifiedBy>王琴</cp:lastModifiedBy>
  <cp:lastPrinted>2024-06-04T08:02:00Z</cp:lastPrinted>
  <dcterms:modified xsi:type="dcterms:W3CDTF">2024-06-04T09:09:29Z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79237F97F73A48288491ED1288563151_13</vt:lpwstr>
  </property>
</Properties>
</file>